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920" w:rsidRPr="00131B90" w:rsidRDefault="00E95920" w:rsidP="00E95920">
      <w:pPr>
        <w:pStyle w:val="Titl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สัญญาค้ำประกันเงินกู้</w:t>
      </w:r>
    </w:p>
    <w:p w:rsidR="00E95920" w:rsidRPr="00131B90" w:rsidRDefault="00E95920" w:rsidP="00E95920">
      <w:pPr>
        <w:pStyle w:val="Titl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95920" w:rsidRPr="00131B90" w:rsidRDefault="00E95920" w:rsidP="00E95920">
      <w:pPr>
        <w:pStyle w:val="Title"/>
        <w:spacing w:after="24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ทำที่....................................................</w:t>
      </w:r>
    </w:p>
    <w:p w:rsidR="00E95920" w:rsidRPr="00131B90" w:rsidRDefault="00E95920" w:rsidP="00E95920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........พ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………….</w:t>
      </w:r>
    </w:p>
    <w:p w:rsidR="00E95920" w:rsidRPr="00131B90" w:rsidRDefault="00E95920" w:rsidP="00E95920">
      <w:pPr>
        <w:ind w:right="296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5920" w:rsidRPr="00131B90" w:rsidRDefault="00E95920" w:rsidP="00E95920">
      <w:pPr>
        <w:spacing w:after="240"/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สัญญาค้ำประกันเงินกู้ฉบับนี้ทำขึ้นระหว่าง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บริษัท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จำกัด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8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เลขนิติบุคคล.....................โดย.............................ผู้มีอำนาจลงนาม ตามหนังสือมอบอำนาจเลขที่.......................... ลงวันที่.................... สำนักงานแห่งใหญ่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เลขที่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="00E8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ตรอก/ซอย................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/ตำบล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E8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จังหวัด....................................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ซึ่งต่อไปนี้เรียกว่า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85D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E85D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ผู้ให้กู้</w:t>
      </w:r>
      <w:r w:rsidRPr="00E85D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ฝ่ายหนึ่ง กับ</w:t>
      </w:r>
    </w:p>
    <w:p w:rsidR="00E95920" w:rsidRPr="00131B90" w:rsidRDefault="00E95920" w:rsidP="00E95920">
      <w:pPr>
        <w:ind w:left="-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 เลขบัตรประจำตัวประชาชนเลขที่...............................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อยู่บ้านเลขที่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  <w:r w:rsidR="00E8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ตรอก/ซอย................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E8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แขวง/ตำบล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="00E8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เขต/อำเภอ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="00E85D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ซึ่งต่อไปนี้ในสัญญาจะเรียกว่า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85D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E85D8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ผู้ค้ำประกัน</w:t>
      </w:r>
      <w:r w:rsidRPr="00E85D8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อีกฝ่ายหนึ่ง</w:t>
      </w:r>
    </w:p>
    <w:p w:rsidR="00E95920" w:rsidRPr="00131B90" w:rsidRDefault="00E95920" w:rsidP="00E95920">
      <w:pPr>
        <w:spacing w:before="240"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ทั้งสองฝ่ายตกลงทำสัญญาดังมีข้อความต่อไปนี้</w:t>
      </w:r>
    </w:p>
    <w:p w:rsidR="00E95920" w:rsidRPr="00131B90" w:rsidRDefault="00E95920" w:rsidP="00E95920">
      <w:pPr>
        <w:spacing w:after="240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70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0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0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ที่ผู้ให้กู้ได้ยอมให้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ซึ่งต่อไปนี้เรียกว่า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ผู้กู้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กู้เงินจากผู้ให้กู้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ตามสัญญาเงินกู้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ลงวันที่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..เป็นจำนวนเงิน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(……………………………………………)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พร้อมดอกเบี้ยอัตราร้อยละ....................ต่อปี นับแต่วันที่ทำสัญญากู้ยืมเงิน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โดยผ่อนชำระให้ผู้ให้กู้เป็นรายเดือน เดือนละ.........................บาท (.....................................) ทุกวันที่..............ของเดือน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เริ่มชำระตั้งแต่งวดแรกในวันที่............................. โดยจะชำระให้เสร็จสิ้นภายใน.................. นับแต่วันทำสัญญากู้ยืมเงิน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ยินยอมให้ผู้ให้กู้เรียกให้ชำระทั้งหมดพร้อมดอกเบี้ยร้อยละ.........ต่อปี ได้ทันที และผู้ค้ำประกันตกลง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เข้าค้ำประกัน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การชำระหนี้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รวมทั้งดอกเบี้ยค่าสินไหมทดแทน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ซึ่งลูกหนี้ค้างชำระตลอดจนค่าภาระติดพันอันเป็นอุปกรณ์แห่งหนี้รายนี้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ตามสัญญาเงินกู้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ดังกล่าว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จนกว่าผู้ให้กู้จะได้รับชำระหนี้โดยสิ้นเชิง</w:t>
      </w:r>
    </w:p>
    <w:p w:rsidR="00E95920" w:rsidRPr="00131B90" w:rsidRDefault="00E95920" w:rsidP="00E95920">
      <w:pPr>
        <w:spacing w:after="240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703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570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ในกรณีที่ผู้กู้ผิดนัดไม่ชำระหนี้ตามสัญญากู้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ดังกล่าว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ไม่ว่าด้วยเหตุใด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หรือผู้กู้ล้มละลาย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หรือตาย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หรือกลายเป็นบุคคลไร้ความสามารถ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หรือสาบสูญ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หรือไปจากถิ่นที่อยู่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าตัวไม่พบหรือย้ายภูมิลำเนา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โดยมิแจ้งให้ผู้กู้ทราบ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มีกรณีอื่นใดอันกระทำให้ผู้ให้กู้ไม่ได้รับชำระหนี้ตามสัญญากู้ที่กล่าวแล้วเต็มจำนวนและตามกำหนดที่ระบุไว้ในสัญญาก็ดี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ผู้ค้ำประกันตกลงยินยอมจะชำระให้แก่ผู้ให้กู้จนครบถ้วนตามสัญญา (กรณีที่ผู้ค้ำประกันเป็นบุคคลธรรมดา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Note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4) ///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ผู้ค้ำประกันยอมเข้ารับผิดร่วมกับลูกหนี้ในอันที่จะต้องชำระหนี้ตามสัญญากู้นั้นทันที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(กรณีที่ผู้ค้ำประกันเป็นนิติบุคคล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Note 5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E95920" w:rsidRPr="00131B90" w:rsidRDefault="00E95920" w:rsidP="00E95920">
      <w:pPr>
        <w:spacing w:after="240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70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3.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ถ้าผู้ให้กู้ผ่อนเวลาให้แก่ผู้กู้เพื่อชำระหนี้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โดยจะได้แจ้งหรือมิได้แจ้งให้ผู้ค้ำประกันทราบก็ตาม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ผู้ค้ำประกันยอมตกลงด้วยการให้ผ่อนเวลานั้นทุกครั้งไป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และย่อมมิให้ถือเอาการให้ผ่อนเวลาเช่นว่านั้นเป็นเหตุ</w:t>
      </w:r>
      <w:r w:rsidR="00B1648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ปลดเปลื้องความรับผิดของผู้ค้ำประกันเป็นอันขาด</w:t>
      </w:r>
    </w:p>
    <w:p w:rsidR="00E95920" w:rsidRPr="00131B90" w:rsidRDefault="00E95920" w:rsidP="00E95920">
      <w:pPr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="007570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4.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ในกรณีที่ลูกหนี้ผิดสัญญา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ค้ำประกันยอมสละสิทธิที่จะต่อสู้ให้ผู้ให้กู้ไปบังคับเอาชำระหนี้จากทรัพย์สินของลูกหนี้ก่อนเรียกร้องให้ผู้ค้ำประกันรับผิด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แต่ทั้งนี้ไม่เป็นการตัดสิทธิของผู้ให้กู้ที่จะดำเนินการเรียกร้อง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หรือฟ้องร้องผู้กู้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หรือกองมรดกของผู้กู้ให้ชำระก่อนตามแต่ผู้ให้กู้จะเห็นสมควร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และในกรณีเช่นว่านี้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ถ้าผู้ให้กู้มิได้รับชำระหนี้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หรือได้รับไม่เต็มจำนวน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ผู้ค้ำประกันจึงยินยอมให้ถือว่าการดำเนินเช่นนั้น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เป็นการที่ผู้ให้กู้กระทำเพื่อผู้ค้ำประกันเอง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ผู้ค้ำประกันจึงยินยอมจะชำระหนี้ที่ค้างชำระอยู่โดยพลัน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ยอมชดใช้บรรดาค่าธรรมเนียมและค่าใช้จ่ายทั้งสิ้นอันผู้ให้กู้จะได้เสียไปถึงแม้ว่าการดำเนินเช่นว่านั้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ผู้ให้กู้จะได้แจ้งหรือมิได้แจ้งให้ผู้ค้ำประกันทราบก่อนก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็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ตามและถึงแม้จะมิได้เรียกร้องหรือฟ้องผู้ค้ำประกันร่วมกับผู้กู้หรือกองมรดกของผู้กู้ด้วยก็ตาม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E95920" w:rsidRPr="00131B90" w:rsidRDefault="00E95920" w:rsidP="00E95920">
      <w:pPr>
        <w:spacing w:before="240" w:after="240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70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5.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ผู้ค้ำประกันสัญญาว่า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ถ้าผู้ค้ำประกันย้าย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ภูมิลำเนา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จากภูมิลำเนาข้างต้นในสัญญานี้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ผู้ค้ำประกันมีหน้าที่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แจ้งให้ผู้กู้ทราบโดยทันที มิฉะนั้น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ผู้ค้ำประกันจะต้องรับผิดในความเสียหาย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ดังกล่าวที่เกิดขึ้นต่อผู้ให้กู้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E95920" w:rsidRPr="00131B90" w:rsidRDefault="00E95920" w:rsidP="00E95920">
      <w:pPr>
        <w:spacing w:after="240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70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</w:t>
      </w: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6.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สัญญา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ค้ำประกัน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นี้ย่อมผูกพันผู้ค้ำประกันอย่างสมบูรณ์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แม้ถึงหากจะบังเกิดข้ออ้างขึ้นว่า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ผู้กู้เป็นบุคคลไร้ความสามารถ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หรือเข้าทำสัญญาที่กล่าวแล้วด้วยความสำคัญผิดอย่างใด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ก็ตาม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ไม่ว่า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ผู้ค้ำประกันจะได้รู้ถึงเหตุไร้ความสามารถ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หรือสำคัญผิด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หรือไม่กู้ตาม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และผู้ค้ำประกันไม่พ้นจากความรับผิด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เพราะเหตุผู้ให้กู้อาจกระทำการใด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ไปเป็นเหตุให้ผู้ค้ำประกันไม่อาจเข้ารับช่วงได้หมด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หรือแต่บางส่วนในสิทธิใด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อันได้ให้หรื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อาจได้ให้ไว้แก่ผู้ให้กู้แต่ก่อน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หรือในขณะทำสัญญาค้ำประกันนี้</w:t>
      </w:r>
    </w:p>
    <w:p w:rsidR="00E95920" w:rsidRPr="00131B90" w:rsidRDefault="00E95920" w:rsidP="00E95920">
      <w:pPr>
        <w:spacing w:after="240"/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75703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</w:t>
      </w:r>
      <w:r w:rsidRPr="00131B9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7. 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หากผู้ค้ำประกันไม่ปฏิบัติตามสัญ</w:t>
      </w:r>
      <w:r w:rsidR="00B164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ญา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64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ผู้ค้ำประกัน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ยินยอมให้ผู้ให้กู้ดำเนินการบังคับชำระหนี้จาก</w:t>
      </w:r>
      <w:r w:rsidR="00B1648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ผู้ค้ำประกันได้ตามกฎหมายทันที</w:t>
      </w:r>
    </w:p>
    <w:p w:rsidR="00E95920" w:rsidRPr="00131B90" w:rsidRDefault="00E95920" w:rsidP="00E95920">
      <w:pPr>
        <w:ind w:left="-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75703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สัญญานี้ทำขึ้นสองฉบับมีข้อความถูกต้องตรงกัน คู่สัญญาแต่ละฝ่ายได้อ่านโดยตลอดแล้วยืนยันว่าถูกต้อง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ตามเจตนา จึงได้ลงลายมือชื่อไว้เป็นสำคัญ</w:t>
      </w:r>
      <w:r w:rsidR="00B164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อหน้าพยานและแต่ละ</w:t>
      </w:r>
      <w:bookmarkStart w:id="0" w:name="_GoBack"/>
      <w:bookmarkEnd w:id="0"/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ฝ่ายยึดถือไว้ฝ่ายละหนึ่งฉบับ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E95920" w:rsidRPr="00131B90" w:rsidRDefault="00E95920" w:rsidP="00E9592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5920" w:rsidRPr="00131B90" w:rsidRDefault="00E95920" w:rsidP="00E9592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5920" w:rsidRPr="00131B90" w:rsidRDefault="00E95920" w:rsidP="00E95920">
      <w:pPr>
        <w:spacing w:after="240"/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…...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ผู้ค้ำประกัน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ให้กู้</w:t>
      </w:r>
    </w:p>
    <w:p w:rsidR="00E95920" w:rsidRPr="00131B90" w:rsidRDefault="00E95920" w:rsidP="00E95920">
      <w:pPr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…...)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(…………………………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…...)</w:t>
      </w:r>
    </w:p>
    <w:p w:rsidR="00E95920" w:rsidRPr="00131B90" w:rsidRDefault="00E95920" w:rsidP="00E95920">
      <w:pPr>
        <w:spacing w:after="240"/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5920" w:rsidRPr="00131B90" w:rsidRDefault="00E95920" w:rsidP="00E95920">
      <w:pPr>
        <w:spacing w:after="240"/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…...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พยาน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…...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พยาน</w:t>
      </w:r>
    </w:p>
    <w:p w:rsidR="00E95920" w:rsidRPr="00131B90" w:rsidRDefault="00E95920" w:rsidP="00E95920">
      <w:pPr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…...)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(…………………………</w:t>
      </w:r>
      <w:r w:rsidRPr="00131B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>…...)</w:t>
      </w:r>
    </w:p>
    <w:p w:rsidR="00E95920" w:rsidRPr="00131B90" w:rsidRDefault="00E95920" w:rsidP="00E95920">
      <w:pPr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5920" w:rsidRPr="00131B90" w:rsidRDefault="00E95920" w:rsidP="00E95920">
      <w:pPr>
        <w:spacing w:after="240"/>
        <w:ind w:left="-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31B90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E95920" w:rsidRPr="00131B90" w:rsidRDefault="00E95920" w:rsidP="00E9592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31B90">
        <w:rPr>
          <w:rFonts w:ascii="TH SarabunPSK" w:hAnsi="TH SarabunPSK" w:cs="TH SarabunPSK"/>
          <w:color w:val="000000" w:themeColor="text1"/>
          <w:szCs w:val="24"/>
        </w:rPr>
        <w:t>*</w:t>
      </w:r>
      <w:r w:rsidRPr="00131B90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131B90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7" w:history="1">
        <w:r w:rsidRPr="00131B90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E95920" w:rsidRPr="00A02213" w:rsidRDefault="00E95920" w:rsidP="00E95920">
      <w:pPr>
        <w:rPr>
          <w:rFonts w:ascii="TH SarabunPSK" w:hAnsi="TH SarabunPSK" w:cs="TH SarabunPSK"/>
          <w:b/>
          <w:bCs/>
          <w:color w:val="000000" w:themeColor="text1"/>
          <w:u w:val="double"/>
        </w:rPr>
      </w:pPr>
      <w:bookmarkStart w:id="1" w:name="_Hlk122896543"/>
      <w:r w:rsidRPr="00A02213">
        <w:rPr>
          <w:rFonts w:ascii="TH SarabunPSK" w:hAnsi="TH SarabunPSK" w:cs="TH SarabunPSK"/>
          <w:b/>
          <w:bCs/>
          <w:color w:val="000000" w:themeColor="text1"/>
          <w:u w:val="double"/>
        </w:rPr>
        <w:lastRenderedPageBreak/>
        <w:t>Note</w:t>
      </w:r>
    </w:p>
    <w:p w:rsidR="00E95920" w:rsidRPr="00A02213" w:rsidRDefault="00E95920" w:rsidP="00E95920">
      <w:pPr>
        <w:rPr>
          <w:rFonts w:ascii="TH SarabunPSK" w:hAnsi="TH SarabunPSK" w:cs="TH SarabunPSK"/>
          <w:b/>
          <w:bCs/>
          <w:color w:val="FF0000"/>
          <w:u w:val="double"/>
        </w:rPr>
      </w:pPr>
    </w:p>
    <w:p w:rsidR="00E95920" w:rsidRPr="00A02213" w:rsidRDefault="00E95920" w:rsidP="00E95920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>หนี้ (ตามสัญญาเงินกู้) ที่ค้ำประกันต้องสมบูรณ์ (มาตรา 681)</w:t>
      </w:r>
    </w:p>
    <w:p w:rsidR="00E95920" w:rsidRPr="00A02213" w:rsidRDefault="00E95920" w:rsidP="00E95920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>ผู้ค้ำประกันมีสิทธิยกข้อต่อสู้ของผู้กู้ได้ว่าไม่มีหลักฐานการกู้ยืมเงินขึ้นต่อสู้ผู้ให้กู้ได้ (มาตรา 694)</w:t>
      </w:r>
    </w:p>
    <w:p w:rsidR="00E95920" w:rsidRPr="00A02213" w:rsidRDefault="00E95920" w:rsidP="00E95920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>สัญญาค้ำประกันต้องระบุหนี้ไว้ให้ชัดแจ้ง เนื่องจากผู้ค้ำประกันรับผิดเพียงหนี้ที่ระบุไว้</w:t>
      </w:r>
    </w:p>
    <w:p w:rsidR="00E95920" w:rsidRPr="00A02213" w:rsidRDefault="00E95920" w:rsidP="00E95920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 xml:space="preserve">กรณีที่เป็นบุคคลธรรมดา ไม่สามารถกำหนดให้ผู้ค้ำประกันรับผิดอย่างเดียวกับลูกหนี้ร่วมหรือในฐานะลูกหนี้ได้ </w:t>
      </w:r>
      <w:r w:rsidRPr="00A02213">
        <w:rPr>
          <w:rFonts w:ascii="TH SarabunPSK" w:hAnsi="TH SarabunPSK" w:cs="TH SarabunPSK"/>
          <w:cs/>
        </w:rPr>
        <w:br/>
        <w:t xml:space="preserve">         หากกำหนด </w:t>
      </w:r>
      <w:r w:rsidRPr="00A02213">
        <w:rPr>
          <w:rFonts w:ascii="TH SarabunPSK" w:hAnsi="TH SarabunPSK" w:cs="TH SarabunPSK"/>
        </w:rPr>
        <w:t>=</w:t>
      </w:r>
      <w:r w:rsidRPr="00A02213">
        <w:rPr>
          <w:rFonts w:ascii="TH SarabunPSK" w:hAnsi="TH SarabunPSK" w:cs="TH SarabunPSK" w:hint="cs"/>
          <w:cs/>
        </w:rPr>
        <w:t xml:space="preserve"> โมฆะ (มาตรา 681/1)</w:t>
      </w:r>
    </w:p>
    <w:p w:rsidR="00E95920" w:rsidRPr="00A02213" w:rsidRDefault="00E95920" w:rsidP="00E95920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 xml:space="preserve">แต่ถ้าลูกหนี้เป็นนิติบุคคล </w:t>
      </w:r>
      <w:r w:rsidRPr="00A02213">
        <w:rPr>
          <w:rFonts w:ascii="TH SarabunPSK" w:hAnsi="TH SarabunPSK" w:cs="TH SarabunPSK"/>
        </w:rPr>
        <w:t>=</w:t>
      </w:r>
      <w:r w:rsidRPr="00A02213">
        <w:rPr>
          <w:rFonts w:ascii="TH SarabunPSK" w:hAnsi="TH SarabunPSK" w:cs="TH SarabunPSK" w:hint="cs"/>
          <w:cs/>
        </w:rPr>
        <w:t xml:space="preserve"> สามารถกำหนดให้ผู้ค้ำประกันรับผิดอย่างลูกหนี้ร่วมได้</w:t>
      </w:r>
    </w:p>
    <w:p w:rsidR="00E95920" w:rsidRPr="00A02213" w:rsidRDefault="00E95920" w:rsidP="00E95920">
      <w:pPr>
        <w:numPr>
          <w:ilvl w:val="0"/>
          <w:numId w:val="1"/>
        </w:numPr>
        <w:spacing w:after="240"/>
        <w:ind w:left="-630" w:firstLine="0"/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 xml:space="preserve">หากตามสัญญากู้ฉบับเดียวกันมีผู้ค้ำประกันหลายคน (ไม่ว่าจะค้ำประกันพร้อมกันหรือไม่) </w:t>
      </w:r>
      <w:r w:rsidRPr="00A02213">
        <w:rPr>
          <w:rFonts w:ascii="TH SarabunPSK" w:hAnsi="TH SarabunPSK" w:cs="TH SarabunPSK"/>
          <w:cs/>
        </w:rPr>
        <w:br/>
        <w:t xml:space="preserve">            </w:t>
      </w:r>
      <w:r w:rsidRPr="00A02213">
        <w:rPr>
          <w:rFonts w:ascii="TH SarabunPSK" w:hAnsi="TH SarabunPSK" w:cs="TH SarabunPSK"/>
        </w:rPr>
        <w:t>=</w:t>
      </w:r>
      <w:r w:rsidRPr="00A02213">
        <w:rPr>
          <w:rFonts w:ascii="TH SarabunPSK" w:hAnsi="TH SarabunPSK" w:cs="TH SarabunPSK" w:hint="cs"/>
          <w:cs/>
        </w:rPr>
        <w:t xml:space="preserve"> ผู้ค้ำประกันต้องร่วมกันรับผิดอย่างลูกหนี้ร่วม </w:t>
      </w:r>
      <w:r w:rsidRPr="00A02213">
        <w:rPr>
          <w:rFonts w:ascii="TH SarabunPSK" w:hAnsi="TH SarabunPSK" w:cs="TH SarabunPSK" w:hint="cs"/>
          <w:cs/>
        </w:rPr>
        <w:br/>
        <w:t xml:space="preserve">               หรือหากตกลงกันไว้เป็นพิเศษระหว่างผู้ค้ำประกันก็เป็นไปตามสัญญา</w:t>
      </w:r>
    </w:p>
    <w:p w:rsidR="00E95920" w:rsidRPr="00A02213" w:rsidRDefault="00E95920" w:rsidP="00E95920">
      <w:pPr>
        <w:numPr>
          <w:ilvl w:val="0"/>
          <w:numId w:val="1"/>
        </w:numPr>
        <w:ind w:left="-630" w:firstLine="0"/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 xml:space="preserve">หากบังคับตามสัญญาค้ำประกันแล้วไม่พอชำระหนี้ </w:t>
      </w:r>
    </w:p>
    <w:p w:rsidR="00E95920" w:rsidRPr="00A02213" w:rsidRDefault="00E95920" w:rsidP="00E95920">
      <w:pPr>
        <w:spacing w:after="240"/>
        <w:ind w:left="-630" w:firstLine="630"/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 xml:space="preserve">    </w:t>
      </w:r>
      <w:r w:rsidRPr="00A02213">
        <w:rPr>
          <w:rFonts w:ascii="TH SarabunPSK" w:hAnsi="TH SarabunPSK" w:cs="TH SarabunPSK"/>
        </w:rPr>
        <w:t xml:space="preserve">= </w:t>
      </w:r>
      <w:r w:rsidRPr="00A02213">
        <w:rPr>
          <w:rFonts w:ascii="TH SarabunPSK" w:hAnsi="TH SarabunPSK" w:cs="TH SarabunPSK" w:hint="cs"/>
          <w:cs/>
        </w:rPr>
        <w:t>ลูกหนี้ต้องรับผิดในส่วนที่เหลือ</w:t>
      </w:r>
    </w:p>
    <w:p w:rsidR="00E95920" w:rsidRPr="00A02213" w:rsidRDefault="00E95920" w:rsidP="00E95920">
      <w:pPr>
        <w:numPr>
          <w:ilvl w:val="0"/>
          <w:numId w:val="1"/>
        </w:numPr>
        <w:ind w:left="-630" w:firstLine="0"/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>ข้อตกลงลดหนี้ที่ผู้ให้กู้ทำกับผู้กู้ (ลดหนี้ตามสัญญากู้เงิน รวมทั้งดอกเบี้ย ค่าสินไหมทดแทน หรือค่าภาระ</w:t>
      </w:r>
      <w:r w:rsidRPr="00A02213">
        <w:rPr>
          <w:rFonts w:ascii="TH SarabunPSK" w:hAnsi="TH SarabunPSK" w:cs="TH SarabunPSK"/>
          <w:cs/>
        </w:rPr>
        <w:br/>
        <w:t xml:space="preserve">         ติดพันอันเป็นอุปกรณ์แห่งหนี้รายนั้น)</w:t>
      </w:r>
      <w:r w:rsidRPr="00A02213">
        <w:rPr>
          <w:rFonts w:ascii="TH SarabunPSK" w:hAnsi="TH SarabunPSK" w:cs="TH SarabunPSK"/>
          <w:cs/>
        </w:rPr>
        <w:br/>
        <w:t xml:space="preserve">            </w:t>
      </w:r>
      <w:r w:rsidRPr="00A02213">
        <w:rPr>
          <w:rFonts w:ascii="TH SarabunPSK" w:hAnsi="TH SarabunPSK" w:cs="TH SarabunPSK"/>
        </w:rPr>
        <w:t>=</w:t>
      </w:r>
      <w:r w:rsidRPr="00A02213">
        <w:rPr>
          <w:rFonts w:ascii="TH SarabunPSK" w:hAnsi="TH SarabunPSK" w:cs="TH SarabunPSK" w:hint="cs"/>
          <w:cs/>
        </w:rPr>
        <w:t xml:space="preserve"> ผู้ให้กู้ต้องมีหนังสือแจ้งผู้ค้ำประกันทราบภายใน 60 วัน นับแต่วันที่ตกลง</w:t>
      </w:r>
    </w:p>
    <w:p w:rsidR="00E95920" w:rsidRPr="00A02213" w:rsidRDefault="00E95920" w:rsidP="00E95920">
      <w:pPr>
        <w:rPr>
          <w:rFonts w:ascii="TH SarabunPSK" w:hAnsi="TH SarabunPSK" w:cs="TH SarabunPSK"/>
        </w:rPr>
      </w:pPr>
    </w:p>
    <w:p w:rsidR="00E95920" w:rsidRPr="00A02213" w:rsidRDefault="00E95920" w:rsidP="00E95920">
      <w:pPr>
        <w:ind w:left="-720"/>
        <w:rPr>
          <w:rFonts w:ascii="TH SarabunPSK" w:hAnsi="TH SarabunPSK" w:cs="TH SarabunPSK"/>
          <w:u w:val="single"/>
        </w:rPr>
      </w:pPr>
      <w:r w:rsidRPr="00A02213">
        <w:rPr>
          <w:rFonts w:ascii="TH SarabunPSK" w:hAnsi="TH SarabunPSK" w:cs="TH SarabunPSK"/>
          <w:u w:val="single"/>
          <w:cs/>
        </w:rPr>
        <w:t>การเรียกให้ผู้ค้ำประกันชำระหนี้</w:t>
      </w:r>
    </w:p>
    <w:p w:rsidR="00E95920" w:rsidRPr="00A02213" w:rsidRDefault="00E95920" w:rsidP="00E95920">
      <w:pPr>
        <w:numPr>
          <w:ilvl w:val="0"/>
          <w:numId w:val="2"/>
        </w:numPr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>ผู้ให้กู้ต้องมีหนังสือบอกกล่าวไปยังผู้ค้ำประกันภายใน 60 วัน นับแต่วันที่ผู้กู้ผิดนัด</w:t>
      </w:r>
    </w:p>
    <w:p w:rsidR="00E95920" w:rsidRPr="00A02213" w:rsidRDefault="00E95920" w:rsidP="00E95920">
      <w:pPr>
        <w:numPr>
          <w:ilvl w:val="0"/>
          <w:numId w:val="2"/>
        </w:numPr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>ไม่สามารถเรียกให้ผู้ค้ำประกันชำระหนี้ก่อนหนังสือไปถึงไม่ได้</w:t>
      </w:r>
    </w:p>
    <w:p w:rsidR="00E95920" w:rsidRPr="00A02213" w:rsidRDefault="00E95920" w:rsidP="00E95920">
      <w:pPr>
        <w:numPr>
          <w:ilvl w:val="0"/>
          <w:numId w:val="2"/>
        </w:numPr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 xml:space="preserve">หากผู้ให้กู้ไม่บอกกล่าว หรือบอกกล่าวเกินเวลา </w:t>
      </w:r>
      <w:r w:rsidRPr="00A02213">
        <w:rPr>
          <w:rFonts w:ascii="TH SarabunPSK" w:hAnsi="TH SarabunPSK" w:cs="TH SarabunPSK"/>
        </w:rPr>
        <w:t>=</w:t>
      </w:r>
      <w:r w:rsidRPr="00A02213">
        <w:rPr>
          <w:rFonts w:ascii="TH SarabunPSK" w:hAnsi="TH SarabunPSK" w:cs="TH SarabunPSK" w:hint="cs"/>
          <w:cs/>
        </w:rPr>
        <w:t xml:space="preserve"> ผู้ค้ำประกันหลุดพ้นความรับผิด (ผู้ให้กู้ฟ้องผู้ค้ำประกันไม่ได้)</w:t>
      </w:r>
    </w:p>
    <w:p w:rsidR="00E95920" w:rsidRPr="00A02213" w:rsidRDefault="00E95920" w:rsidP="00E95920">
      <w:pPr>
        <w:rPr>
          <w:rFonts w:ascii="TH SarabunPSK" w:hAnsi="TH SarabunPSK" w:cs="TH SarabunPSK"/>
        </w:rPr>
      </w:pPr>
    </w:p>
    <w:p w:rsidR="00E95920" w:rsidRPr="00A02213" w:rsidRDefault="00E95920" w:rsidP="00E95920">
      <w:pPr>
        <w:ind w:left="-720"/>
        <w:rPr>
          <w:rFonts w:ascii="TH SarabunPSK" w:hAnsi="TH SarabunPSK" w:cs="TH SarabunPSK"/>
          <w:u w:val="single"/>
        </w:rPr>
      </w:pPr>
      <w:r w:rsidRPr="00A02213">
        <w:rPr>
          <w:rFonts w:ascii="TH SarabunPSK" w:hAnsi="TH SarabunPSK" w:cs="TH SarabunPSK"/>
          <w:u w:val="single"/>
          <w:cs/>
        </w:rPr>
        <w:t>สิทธิของผู้ค้ำประกัน</w:t>
      </w:r>
    </w:p>
    <w:p w:rsidR="00E95920" w:rsidRPr="00A02213" w:rsidRDefault="00E95920" w:rsidP="00E95920">
      <w:pPr>
        <w:numPr>
          <w:ilvl w:val="0"/>
          <w:numId w:val="3"/>
        </w:numPr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>ขอให้เรียกให้ผู้กู้ชำระหนี้ก่อน (มาตรา 688)</w:t>
      </w:r>
    </w:p>
    <w:p w:rsidR="00E95920" w:rsidRPr="00A02213" w:rsidRDefault="00E95920" w:rsidP="00E95920">
      <w:pPr>
        <w:numPr>
          <w:ilvl w:val="0"/>
          <w:numId w:val="3"/>
        </w:numPr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>ขอให้บังคับชำระหนี้เอาจากทรัพย์สินของผู้กู้ก่อน (มาตรา 689)</w:t>
      </w:r>
    </w:p>
    <w:p w:rsidR="00E95920" w:rsidRPr="00A02213" w:rsidRDefault="00E95920" w:rsidP="00E95920">
      <w:pPr>
        <w:numPr>
          <w:ilvl w:val="0"/>
          <w:numId w:val="3"/>
        </w:numPr>
        <w:rPr>
          <w:rFonts w:ascii="TH SarabunPSK" w:hAnsi="TH SarabunPSK" w:cs="TH SarabunPSK"/>
        </w:rPr>
      </w:pPr>
      <w:r w:rsidRPr="00A02213">
        <w:rPr>
          <w:rFonts w:ascii="TH SarabunPSK" w:hAnsi="TH SarabunPSK" w:cs="TH SarabunPSK"/>
          <w:cs/>
        </w:rPr>
        <w:t>ขอให้บังคับชำระหนี้จากทรัพย์ซึ่งเป็นประกันก่อน (มาตรา 690)</w:t>
      </w:r>
    </w:p>
    <w:bookmarkEnd w:id="1"/>
    <w:p w:rsidR="005C3767" w:rsidRPr="00E95920" w:rsidRDefault="005C3767"/>
    <w:sectPr w:rsidR="005C3767" w:rsidRPr="00E95920" w:rsidSect="00131B90">
      <w:footerReference w:type="default" r:id="rId8"/>
      <w:pgSz w:w="11906" w:h="16838"/>
      <w:pgMar w:top="1296" w:right="1008" w:bottom="1296" w:left="18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B8A" w:rsidRDefault="009E2B8A">
      <w:r>
        <w:separator/>
      </w:r>
    </w:p>
  </w:endnote>
  <w:endnote w:type="continuationSeparator" w:id="0">
    <w:p w:rsidR="009E2B8A" w:rsidRDefault="009E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5A4" w:rsidRPr="00131B90" w:rsidRDefault="00757036" w:rsidP="00131B90">
    <w:pPr>
      <w:pStyle w:val="Footer"/>
      <w:jc w:val="center"/>
      <w:rPr>
        <w:rFonts w:ascii="TH SarabunPSK" w:hAnsi="TH SarabunPSK" w:cs="TH SarabunPSK"/>
      </w:rPr>
    </w:pPr>
    <w:r w:rsidRPr="00131B90">
      <w:rPr>
        <w:rFonts w:ascii="TH SarabunPSK" w:hAnsi="TH SarabunPSK" w:cs="TH SarabunPSK"/>
        <w:sz w:val="24"/>
        <w:szCs w:val="24"/>
        <w:cs/>
      </w:rPr>
      <w:t xml:space="preserve">หน้า </w:t>
    </w:r>
    <w:r w:rsidRPr="00131B90">
      <w:rPr>
        <w:rFonts w:ascii="TH SarabunPSK" w:hAnsi="TH SarabunPSK" w:cs="TH SarabunPSK"/>
        <w:sz w:val="24"/>
        <w:szCs w:val="24"/>
      </w:rPr>
      <w:fldChar w:fldCharType="begin"/>
    </w:r>
    <w:r w:rsidRPr="00131B90">
      <w:rPr>
        <w:rFonts w:ascii="TH SarabunPSK" w:hAnsi="TH SarabunPSK" w:cs="TH SarabunPSK"/>
        <w:sz w:val="24"/>
        <w:szCs w:val="24"/>
      </w:rPr>
      <w:instrText xml:space="preserve"> PAGE  \</w:instrText>
    </w:r>
    <w:r w:rsidRPr="00131B90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131B90">
      <w:rPr>
        <w:rFonts w:ascii="TH SarabunPSK" w:hAnsi="TH SarabunPSK" w:cs="TH SarabunPSK"/>
        <w:sz w:val="24"/>
        <w:szCs w:val="24"/>
      </w:rPr>
      <w:instrText>Arabic  \</w:instrText>
    </w:r>
    <w:r w:rsidRPr="00131B90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131B90">
      <w:rPr>
        <w:rFonts w:ascii="TH SarabunPSK" w:hAnsi="TH SarabunPSK" w:cs="TH SarabunPSK"/>
        <w:sz w:val="24"/>
        <w:szCs w:val="24"/>
      </w:rPr>
      <w:instrText xml:space="preserve">MERGEFORMAT </w:instrText>
    </w:r>
    <w:r w:rsidRPr="00131B90">
      <w:rPr>
        <w:rFonts w:ascii="TH SarabunPSK" w:hAnsi="TH SarabunPSK" w:cs="TH SarabunPSK"/>
        <w:sz w:val="24"/>
        <w:szCs w:val="24"/>
      </w:rPr>
      <w:fldChar w:fldCharType="separate"/>
    </w:r>
    <w:r w:rsidRPr="00131B90">
      <w:rPr>
        <w:rFonts w:ascii="TH SarabunPSK" w:hAnsi="TH SarabunPSK" w:cs="TH SarabunPSK"/>
        <w:sz w:val="24"/>
        <w:szCs w:val="24"/>
      </w:rPr>
      <w:t>1</w:t>
    </w:r>
    <w:r w:rsidRPr="00131B90">
      <w:rPr>
        <w:rFonts w:ascii="TH SarabunPSK" w:hAnsi="TH SarabunPSK" w:cs="TH SarabunPSK"/>
        <w:sz w:val="24"/>
        <w:szCs w:val="24"/>
      </w:rPr>
      <w:fldChar w:fldCharType="end"/>
    </w:r>
    <w:r w:rsidRPr="00131B90">
      <w:rPr>
        <w:rFonts w:ascii="TH SarabunPSK" w:hAnsi="TH SarabunPSK" w:cs="TH SarabunPSK"/>
        <w:sz w:val="24"/>
        <w:szCs w:val="24"/>
        <w:cs/>
      </w:rPr>
      <w:t xml:space="preserve"> ของ </w:t>
    </w:r>
    <w:r w:rsidRPr="00131B90">
      <w:rPr>
        <w:rFonts w:ascii="TH SarabunPSK" w:hAnsi="TH SarabunPSK" w:cs="TH SarabunPSK"/>
        <w:sz w:val="24"/>
        <w:szCs w:val="24"/>
      </w:rPr>
      <w:fldChar w:fldCharType="begin"/>
    </w:r>
    <w:r w:rsidRPr="00131B90">
      <w:rPr>
        <w:rFonts w:ascii="TH SarabunPSK" w:hAnsi="TH SarabunPSK" w:cs="TH SarabunPSK"/>
        <w:sz w:val="24"/>
        <w:szCs w:val="24"/>
      </w:rPr>
      <w:instrText xml:space="preserve"> NUMPAGES  \</w:instrText>
    </w:r>
    <w:r w:rsidRPr="00131B90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131B90">
      <w:rPr>
        <w:rFonts w:ascii="TH SarabunPSK" w:hAnsi="TH SarabunPSK" w:cs="TH SarabunPSK"/>
        <w:sz w:val="24"/>
        <w:szCs w:val="24"/>
      </w:rPr>
      <w:instrText>Arabic  \</w:instrText>
    </w:r>
    <w:r w:rsidRPr="00131B90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131B90">
      <w:rPr>
        <w:rFonts w:ascii="TH SarabunPSK" w:hAnsi="TH SarabunPSK" w:cs="TH SarabunPSK"/>
        <w:sz w:val="24"/>
        <w:szCs w:val="24"/>
      </w:rPr>
      <w:instrText xml:space="preserve">MERGEFORMAT </w:instrText>
    </w:r>
    <w:r w:rsidRPr="00131B90">
      <w:rPr>
        <w:rFonts w:ascii="TH SarabunPSK" w:hAnsi="TH SarabunPSK" w:cs="TH SarabunPSK"/>
        <w:sz w:val="24"/>
        <w:szCs w:val="24"/>
      </w:rPr>
      <w:fldChar w:fldCharType="separate"/>
    </w:r>
    <w:r w:rsidRPr="00131B90">
      <w:rPr>
        <w:rFonts w:ascii="TH SarabunPSK" w:hAnsi="TH SarabunPSK" w:cs="TH SarabunPSK"/>
        <w:sz w:val="24"/>
        <w:szCs w:val="24"/>
      </w:rPr>
      <w:t>20</w:t>
    </w:r>
    <w:r w:rsidRPr="00131B90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B8A" w:rsidRDefault="009E2B8A">
      <w:r>
        <w:separator/>
      </w:r>
    </w:p>
  </w:footnote>
  <w:footnote w:type="continuationSeparator" w:id="0">
    <w:p w:rsidR="009E2B8A" w:rsidRDefault="009E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52ED3"/>
    <w:multiLevelType w:val="hybridMultilevel"/>
    <w:tmpl w:val="611CD902"/>
    <w:lvl w:ilvl="0" w:tplc="CAD0063A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EEB30A1"/>
    <w:multiLevelType w:val="hybridMultilevel"/>
    <w:tmpl w:val="289AFD20"/>
    <w:lvl w:ilvl="0" w:tplc="EC60BA1A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71477FE0"/>
    <w:multiLevelType w:val="hybridMultilevel"/>
    <w:tmpl w:val="4586A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20"/>
    <w:rsid w:val="002F03A4"/>
    <w:rsid w:val="005C3767"/>
    <w:rsid w:val="00757036"/>
    <w:rsid w:val="009E2B8A"/>
    <w:rsid w:val="00B16481"/>
    <w:rsid w:val="00E85D8E"/>
    <w:rsid w:val="00E9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C4AC"/>
  <w15:chartTrackingRefBased/>
  <w15:docId w15:val="{A7FFD4F1-FB79-4F3D-9125-127DCF84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92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5920"/>
    <w:pPr>
      <w:jc w:val="center"/>
    </w:pPr>
    <w:rPr>
      <w:rFonts w:ascii="AngsanaUPC" w:hAnsi="AngsanaUPC" w:cs="AngsanaUPC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E95920"/>
    <w:rPr>
      <w:rFonts w:ascii="AngsanaUPC" w:eastAsia="Cordia New" w:hAnsi="AngsanaUPC" w:cs="AngsanaUPC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E9592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95920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uiPriority w:val="99"/>
    <w:semiHidden/>
    <w:unhideWhenUsed/>
    <w:rsid w:val="00E959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6</cp:revision>
  <dcterms:created xsi:type="dcterms:W3CDTF">2022-12-25T14:37:00Z</dcterms:created>
  <dcterms:modified xsi:type="dcterms:W3CDTF">2022-12-25T16:21:00Z</dcterms:modified>
</cp:coreProperties>
</file>